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HOSPITALITY - IL SALONE DELL’ACCOGLIENZA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ACCORDO CON VILLAGE 4 ALL PER IL TURISMO ACCESSIBILE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Riva del Garda (TN), 13 luglio 2022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Hospitality -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la più completa fiera italiana dedicata al settore Ho.Re.Ca., sigla un accordo con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Village for all - V4A,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il primo network Italiano di ospitalità accessibile fondato da Roberto Vitali e Silvia Bonoli. L’intesa prevede una serie di attività per la promozione, il supporto e la formazione di imprese e professionisti della ristorazione e dell’hôtellerie per affrontare questo segmento di mercato. 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 collaborazione con Village for all - V4A consente a Hospitality di integrare nel proprio percorso espositivo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fornitori di prodotti e servizi specializzati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oltre ad arricchire il palinsesto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eventi con appuntamenti dedicati al turismo accessibile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Un’opportunità per gli operatori dell’Ho.Re.Ca. di scoprire soluzioni per realizzare e valorizzare un’accoglienza sostenibile ed inclusiva a 360 gradi.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Con Village for all - V4A creeremo un vero e proprio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4"/>
          <w:szCs w:val="24"/>
          <w:rtl w:val="0"/>
        </w:rPr>
        <w:t xml:space="preserve">percorso dedicato all’accessibilità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, a partire dal layout espositivo della manifestazione, ma questo sarà solo il primo passo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- commenta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Giovanna Voltolini, Exhibition Manager di Hospitality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–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Perché accessibilità non significa soltanto adempiere alle norme o abbattere le barriere architettoniche; si tratta di un concetto più ampio che abbraccia tutta l’esperienza dell’ospitalità ancor prima di partire per la vacanza o di partecipare alla fiera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.”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Non esiste un unico modello di accessibilità, ovvero quella della disabilità motoria rappresentata con il logo di una carrozzina. È fondamentale tenere conto delle necessità di tutti per rispondere in modo corretto alle esigenze di questo mercato. Occorre personale formato e competente e servono informazioni oggettive e verificate che permettano di scegliere la struttura adeguata. È necessario, infine, che vi sia una rete di servizi e di realtà territoriali anch’essi accessibili.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Le persone disabili che fanno turismo sono turisti. Sono oltre 30mila gli hotel, 190mila le strutture extra-ricettive e oltre 2mila i camping in Italia per oltre 5 milioni di posti letto, ma ancora oggi, per persone che hanno esigenze di accessibilità, è difficile individuare la struttura adeguata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– sottolinea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Roberto Vitali, CEO di Village for all - V4A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In questo senso la collaborazione con Hospitality sarà importante non solo per presentare idee e soluzioni, ma anche per sensibilizzare gli operatori verso un mercato con un potenziale di grande valore di sostenibilità sociale ed economica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.”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 Italia, il turismo accessibile rappresenta un mercato che coinvolge oltre 10 milioni di persone con varie tipologie di bisogni, caratterizzato da un fattore moltiplicatore da due a tre volte, perché queste persone non viaggiano da sole. Sono turisti che, in media, progettano vacanze di oltre 10 giorni, con una frequenza di più di una all’anno, e con una capacità di spesa media pro capite superiore ai 120 euro al giorno oltre al pernottamento. Questo segmento di business non riserva quindi solo – come potrebbe sembrare - un impegno ulteriore per gli operatori dell’ospitalità, ma offre in realtà delle grandi opportunità di crescita e sviluppo.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 Hospitality 2023, a Riva del Garda dal 6 al 9 febbraio, il percorso accessibilità si affiancherà alle categorie di prodotto dei business tour per intercettare le migliori aziende future oriented - Smart Solution; Prodotto sostenibile; Made in Italy – e ai percorsi tematici dedicati alle diverse necessità e abitudini alimentari. 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Informazioni su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rtl w:val="0"/>
          </w:rPr>
          <w:t xml:space="preserve">Hospitality – Il Salone dell’Accoglienza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Organizzata da Riva del Garda Fierecongressi, Hospitality è la fiera internazionale dedicata agli operatori dell’Ho.Re.Ca.. Con una superficie espositiva di oltre 40.000 metri quadri, la manifestazione è la più completa in Italia, con un vasto programma formativo e un’ampia platea di aziende e professionisti nelle aree Contract&amp;Wellness, Renovation&amp;Tech, Food&amp;Equipment e Beverage e nelle aree speciali Solobirra, Riva Pianeta Mixology e Winescape.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47esima edizione si svolgerà a Riva del Garda, dal 6 al 9 febbraio 2023.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hyperlink r:id="rId7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www.hospitalityriva.it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@HospitalityRiva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Contatti: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Ufficio stampa Hospitality - Image Building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Tel. 02 89011300; Mailto: </w:t>
      </w:r>
      <w:hyperlink r:id="rId8">
        <w:r w:rsidDel="00000000" w:rsidR="00000000" w:rsidRPr="00000000">
          <w:rPr>
            <w:rFonts w:ascii="Open Sans" w:cs="Open Sans" w:eastAsia="Open Sans" w:hAnsi="Open Sans"/>
            <w:sz w:val="20"/>
            <w:szCs w:val="20"/>
            <w:rtl w:val="0"/>
          </w:rPr>
          <w:t xml:space="preserve">hospitality@imagebuilding.it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560" w:top="2977" w:left="851" w:right="85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-292731</wp:posOffset>
          </wp:positionV>
          <wp:extent cx="1327150" cy="5080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6058" l="6418" r="76384" t="25481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1749141</wp:posOffset>
              </wp:positionH>
              <wp:positionV relativeFrom="page">
                <wp:posOffset>347911</wp:posOffset>
              </wp:positionV>
              <wp:extent cx="2790825" cy="824222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964875" y="3382177"/>
                        <a:ext cx="2762250" cy="795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  <w:t xml:space="preserve">47° EDIZIONE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RIVA DEL GARDA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QUARTIERE FIERISTICO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DAL 6 AL 9 FEBBRAIO 2023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1749141</wp:posOffset>
              </wp:positionH>
              <wp:positionV relativeFrom="page">
                <wp:posOffset>347911</wp:posOffset>
              </wp:positionV>
              <wp:extent cx="2790825" cy="824222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90825" cy="8242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1770064</wp:posOffset>
              </wp:positionH>
              <wp:positionV relativeFrom="page">
                <wp:posOffset>1247459</wp:posOffset>
              </wp:positionV>
              <wp:extent cx="1614170" cy="3703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www.hospitalityriva.it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1770064</wp:posOffset>
              </wp:positionH>
              <wp:positionV relativeFrom="page">
                <wp:posOffset>1247459</wp:posOffset>
              </wp:positionV>
              <wp:extent cx="1614170" cy="37038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4170" cy="370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-296539</wp:posOffset>
          </wp:positionH>
          <wp:positionV relativeFrom="paragraph">
            <wp:posOffset>21590</wp:posOffset>
          </wp:positionV>
          <wp:extent cx="1569876" cy="1569876"/>
          <wp:effectExtent b="0" l="0" r="0" t="0"/>
          <wp:wrapNone/>
          <wp:docPr descr="Immagine che contiene grafica vettoriale&#10;&#10;Descrizione generata automaticamente" id="5" name="image2.png"/>
          <a:graphic>
            <a:graphicData uri="http://schemas.openxmlformats.org/drawingml/2006/picture">
              <pic:pic>
                <pic:nvPicPr>
                  <pic:cNvPr descr="Immagine che contiene grafica vettoriale&#10;&#10;Descrizione generata automaticamente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965200</wp:posOffset>
              </wp:positionV>
              <wp:extent cx="4644000" cy="254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024000" y="3780000"/>
                        <a:ext cx="46440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965200</wp:posOffset>
              </wp:positionV>
              <wp:extent cx="4644000" cy="254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440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hosp-itality.it/it" TargetMode="External"/><Relationship Id="rId7" Type="http://schemas.openxmlformats.org/officeDocument/2006/relationships/hyperlink" Target="http://www.hospitalityriva.it" TargetMode="External"/><Relationship Id="rId8" Type="http://schemas.openxmlformats.org/officeDocument/2006/relationships/hyperlink" Target="mailto:hospitality@imagebuilding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